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rPr>
          <w:rFonts w:ascii="Calibri" w:cs="Calibri" w:hAnsi="Calibri" w:eastAsia="Calibri"/>
          <w:lang w:val="es-ES_tradnl"/>
        </w:rPr>
      </w:pPr>
    </w:p>
    <w:p>
      <w:pPr>
        <w:pStyle w:val="Cuerpo A"/>
        <w:rPr>
          <w:rFonts w:ascii="Calibri" w:cs="Calibri" w:hAnsi="Calibri" w:eastAsia="Calibri"/>
          <w:lang w:val="es-ES_tradnl"/>
        </w:rPr>
      </w:pPr>
    </w:p>
    <w:p>
      <w:pPr>
        <w:pStyle w:val="Cuerpo A"/>
        <w:spacing w:line="360" w:lineRule="auto"/>
        <w:jc w:val="both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Estimadas familias,</w:t>
      </w:r>
    </w:p>
    <w:p>
      <w:pPr>
        <w:pStyle w:val="Cuerpo A"/>
        <w:spacing w:line="360" w:lineRule="auto"/>
        <w:ind w:firstLine="1701"/>
        <w:jc w:val="both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Nos ponemos en contacto para contarles algunas novedades del Jard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desde el punto de vista administrativo. Como casi todos ustedes saben el Jard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tiene un financiamiento mixto: la Facultad sostiene los cargos del personal permanente y las familias complementan con fondos que son destinados a financiar el estipendio de estudiantes que realizan el tramo final de su formaci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y asisten en las salas, los alimentos, los talleres especiales, la capacitaci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del personal, reformas edilicias, equipamiento y material did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ctico, entre otros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tems.</w:t>
      </w:r>
    </w:p>
    <w:p>
      <w:pPr>
        <w:pStyle w:val="Cuerpo A"/>
        <w:spacing w:line="360" w:lineRule="auto"/>
        <w:ind w:firstLine="1701"/>
        <w:jc w:val="both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El arancel consiste en un porcentaje del sueldo bruto de un cargo testigo (Docente Auxiliar, JTP Dedicaci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Exclusiva, con 10 a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os de antig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ü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edad) seg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la cantidad de hijas/os en el Jard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(9% por 1, 11% por 2, 13% por 3). El personal del Jard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n abona 50% del arancel y hay una convocatoria anual de becas (por un 50 y 100%) para quienes no pueden costearlo. </w:t>
      </w:r>
    </w:p>
    <w:p>
      <w:pPr>
        <w:pStyle w:val="Cuerpo A"/>
        <w:spacing w:line="360" w:lineRule="auto"/>
        <w:ind w:firstLine="1701"/>
        <w:jc w:val="both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En funci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de la evoluci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n del cargo testigo durante el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ltimo a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o los montos de referencia para las 3 principales categor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as son los siguientes: </w:t>
      </w:r>
    </w:p>
    <w:p>
      <w:pPr>
        <w:pStyle w:val="Cuerpo A"/>
        <w:spacing w:line="360" w:lineRule="auto"/>
        <w:ind w:firstLine="1701"/>
        <w:jc w:val="both"/>
        <w:rPr>
          <w:rFonts w:ascii="Calibri" w:cs="Calibri" w:hAnsi="Calibri" w:eastAsia="Calibri"/>
          <w:sz w:val="22"/>
          <w:szCs w:val="22"/>
        </w:rPr>
      </w:pPr>
    </w:p>
    <w:tbl>
      <w:tblPr>
        <w:tblW w:w="8331" w:type="dxa"/>
        <w:jc w:val="left"/>
        <w:tblInd w:w="27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82"/>
        <w:gridCol w:w="1278"/>
        <w:gridCol w:w="1411"/>
        <w:gridCol w:w="1465"/>
        <w:gridCol w:w="1424"/>
        <w:gridCol w:w="1571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uppressAutoHyphens w:val="0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JTP D.E.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enero 2020</w:t>
            </w:r>
          </w:p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marzo 2020</w:t>
            </w:r>
          </w:p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octubre 2020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center" w:pos="530"/>
              </w:tabs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marzo 2021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marzo 2021 (redondeo)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uppressAutoHyphens w:val="0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10 a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ñ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os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$61.876,69</w:t>
            </w:r>
          </w:p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$67.878,96</w:t>
            </w:r>
          </w:p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center" w:pos="530"/>
              </w:tabs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$76.801,60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center" w:pos="530"/>
              </w:tabs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$84.481,76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uppressAutoHyphens w:val="0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1 hijo/a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$5.568,90</w:t>
            </w:r>
          </w:p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$6.109,11</w:t>
            </w:r>
          </w:p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$6.912,14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$7.603,36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uppressAutoHyphens w:val="1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$7.600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uppressAutoHyphens w:val="0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2 hijos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/as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$6.806,44</w:t>
            </w:r>
          </w:p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$7.466,69</w:t>
            </w:r>
          </w:p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$8.448,18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$9.292,99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uppressAutoHyphens w:val="1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$9.300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uppressAutoHyphens w:val="0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3 hijos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/as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$8.043,97</w:t>
            </w:r>
          </w:p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$8.824,26</w:t>
            </w:r>
          </w:p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$9.984,21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tabs>
                <w:tab w:val="center" w:pos="530"/>
              </w:tabs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$10.982,63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$11.000</w:t>
            </w:r>
          </w:p>
        </w:tc>
      </w:tr>
    </w:tbl>
    <w:p>
      <w:pPr>
        <w:pStyle w:val="Cuerpo A"/>
        <w:widowControl w:val="0"/>
        <w:ind w:left="163" w:hanging="163"/>
        <w:rPr>
          <w:rFonts w:ascii="Calibri" w:cs="Calibri" w:hAnsi="Calibri" w:eastAsia="Calibri"/>
          <w:sz w:val="22"/>
          <w:szCs w:val="22"/>
        </w:rPr>
      </w:pPr>
    </w:p>
    <w:p>
      <w:pPr>
        <w:pStyle w:val="Cuerpo A"/>
        <w:widowControl w:val="0"/>
        <w:ind w:left="55" w:hanging="55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 A"/>
        <w:spacing w:line="360" w:lineRule="auto"/>
        <w:ind w:firstLine="170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 A"/>
        <w:spacing w:line="360" w:lineRule="auto"/>
        <w:ind w:firstLine="170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1 hijo/a, jornada completa: $ 7.600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2 hijos/as, jornada completa: $ 9.300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3 hijos/as, jornada completa: $ 11.000</w:t>
      </w:r>
    </w:p>
    <w:p>
      <w:pPr>
        <w:pStyle w:val="Cuerpo A"/>
        <w:spacing w:line="360" w:lineRule="auto"/>
        <w:ind w:firstLine="1701"/>
        <w:jc w:val="both"/>
        <w:rPr>
          <w:rStyle w:val="Ninguno A"/>
          <w:rFonts w:ascii="Calibri" w:cs="Calibri" w:hAnsi="Calibri" w:eastAsia="Calibri"/>
          <w:sz w:val="22"/>
          <w:szCs w:val="22"/>
        </w:rPr>
      </w:pPr>
    </w:p>
    <w:p>
      <w:pPr>
        <w:pStyle w:val="Cuerpo A"/>
        <w:spacing w:line="360" w:lineRule="auto"/>
        <w:ind w:firstLine="1701"/>
        <w:jc w:val="both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En 2020 decidimos primero congelar el arancel en abril ($5.600, $6.800 y $8.000: no se realiz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la actualizaci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del cargo testigo de casi 10% de marzo 2020) y luego en julio reducir un 30% ese monto congelado. Desde entonces los principales montos de referencia son $3.900 (1 hija/o), $4.700 (2) y $5.600 (3). Actualmente el arancel est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en casi la mitad de lo que corresponder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a en una situaci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de normalidad. En orden a hacer sostenible una cuota reducida y un salto no tan grande en el arancel una vez que se normalice la situaci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n (y para afrontar gastos que han crecido en el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ltimo tiempo) hemos decidido actualizar el arancel para seguir en torno al 70% del monto de referencia. As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, a partir de marzo, el arancel para las principales 3 categor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as ser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los siguientes:</w:t>
      </w:r>
    </w:p>
    <w:p>
      <w:pPr>
        <w:pStyle w:val="Cuerpo A"/>
        <w:spacing w:line="360" w:lineRule="auto"/>
        <w:ind w:firstLine="1701"/>
        <w:jc w:val="both"/>
        <w:rPr>
          <w:rStyle w:val="Ninguno A"/>
          <w:rFonts w:ascii="Calibri" w:cs="Calibri" w:hAnsi="Calibri" w:eastAsia="Calibri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1 hijo/a, jornada completa: $ 5.300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2 hijos/as, jornada completa: $ 6.500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3 hijos/as, jornada completa: $ 7.700</w:t>
      </w:r>
    </w:p>
    <w:p>
      <w:pPr>
        <w:pStyle w:val="Cuerpo A"/>
        <w:spacing w:line="360" w:lineRule="auto"/>
        <w:ind w:firstLine="1701"/>
        <w:jc w:val="both"/>
        <w:rPr>
          <w:rStyle w:val="Ninguno A"/>
          <w:rFonts w:ascii="Calibri" w:cs="Calibri" w:hAnsi="Calibri" w:eastAsia="Calibri"/>
          <w:sz w:val="22"/>
          <w:szCs w:val="22"/>
        </w:rPr>
      </w:pPr>
    </w:p>
    <w:p>
      <w:pPr>
        <w:pStyle w:val="Cuerpo A"/>
        <w:spacing w:line="360" w:lineRule="auto"/>
        <w:ind w:firstLine="1701"/>
        <w:jc w:val="both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Por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ltimo les recordamos los datos de la cuenta de la Facultad para realizar transferencias, en caso de requerirlo:</w:t>
      </w:r>
    </w:p>
    <w:p>
      <w:pPr>
        <w:pStyle w:val="Cuerpo A"/>
        <w:spacing w:line="360" w:lineRule="auto"/>
        <w:ind w:firstLine="170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 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de-DE"/>
        </w:rPr>
        <w:t>BANCO: SANTANDER RIO</w:t>
      </w:r>
    </w:p>
    <w:p>
      <w:pPr>
        <w:pStyle w:val="Cuerpo 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pt-PT"/>
        </w:rPr>
        <w:t>CTA.CTE. N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º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2367/4</w:t>
      </w:r>
    </w:p>
    <w:p>
      <w:pPr>
        <w:pStyle w:val="Cuerpo 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CBU: 0720209620000000236740</w:t>
      </w:r>
    </w:p>
    <w:p>
      <w:pPr>
        <w:pStyle w:val="Cuerpo 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da-DK"/>
        </w:rPr>
        <w:t>DENOMINACI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N: UNIVERSIDAD DE BUENOS AIRES</w:t>
      </w:r>
    </w:p>
    <w:p>
      <w:pPr>
        <w:pStyle w:val="Cuerpo 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n-US"/>
        </w:rPr>
        <w:t>CUIT: 30-54666656-1</w:t>
      </w:r>
    </w:p>
    <w:p>
      <w:pPr>
        <w:pStyle w:val="Cuerpo 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Fonts w:ascii="Calibri" w:cs="Calibri" w:hAnsi="Calibri" w:eastAsia="Calibri"/>
          <w:sz w:val="22"/>
          <w:szCs w:val="22"/>
        </w:rPr>
      </w:pPr>
    </w:p>
    <w:p>
      <w:pPr>
        <w:pStyle w:val="Cuerpo 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Enviar comprobante de pago a transferencias@de.fcen.uba.ar</w:t>
      </w:r>
    </w:p>
    <w:p>
      <w:pPr>
        <w:pStyle w:val="Cuerpo A"/>
        <w:spacing w:line="360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 A"/>
        <w:spacing w:line="360" w:lineRule="auto"/>
        <w:ind w:firstLine="1701"/>
        <w:jc w:val="both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 </w:t>
      </w:r>
    </w:p>
    <w:p>
      <w:pPr>
        <w:pStyle w:val="Cuerpo A"/>
        <w:spacing w:line="360" w:lineRule="auto"/>
        <w:ind w:left="1418" w:firstLine="283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Saludos cordiales,</w:t>
      </w:r>
    </w:p>
    <w:p>
      <w:pPr>
        <w:pStyle w:val="Cuerpo A"/>
        <w:spacing w:line="360" w:lineRule="auto"/>
        <w:ind w:left="709" w:firstLine="992"/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Equipo Directivo.</w:t>
      </w:r>
    </w:p>
    <w:sectPr>
      <w:headerReference w:type="default" r:id="rId4"/>
      <w:footerReference w:type="default" r:id="rId5"/>
      <w:pgSz w:w="11900" w:h="16840" w:orient="portrait"/>
      <w:pgMar w:top="2665" w:right="1406" w:bottom="1491" w:left="1990" w:header="117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Neue ThinCond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484"/>
        <w:tab w:val="clear" w:pos="9638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1245870</wp:posOffset>
          </wp:positionH>
          <wp:positionV relativeFrom="page">
            <wp:posOffset>752475</wp:posOffset>
          </wp:positionV>
          <wp:extent cx="1304925" cy="752475"/>
          <wp:effectExtent l="0" t="0" r="0" b="0"/>
          <wp:wrapNone/>
          <wp:docPr id="1073741826" name="officeArt object" descr="Logo EXACTA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Logo EXACTA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52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inline distT="0" distB="0" distL="0" distR="0">
          <wp:extent cx="762000" cy="916912"/>
          <wp:effectExtent l="0" t="0" r="0" b="0"/>
          <wp:docPr id="1073741825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Log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169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•"/>
      <w:lvlJc w:val="left"/>
      <w:pPr>
        <w:ind w:left="26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3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4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47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5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62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94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6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3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1"/>
      <w:keepLines w:val="1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right"/>
      <w:outlineLvl w:val="9"/>
    </w:pPr>
    <w:rPr>
      <w:rFonts w:ascii="HelveticaNeue ThinCond" w:cs="HelveticaNeue ThinCond" w:hAnsi="HelveticaNeue ThinCond" w:eastAsia="HelveticaNeue ThinCon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inguno">
    <w:name w:val="Ninguno"/>
    <w:rPr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character" w:styleId="Ninguno A">
    <w:name w:val="Ninguno A"/>
    <w:basedOn w:val="Ninguno"/>
    <w:rPr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