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rPr>
          <w:rFonts w:ascii="Calibri" w:cs="Calibri" w:hAnsi="Calibri" w:eastAsia="Calibri"/>
        </w:rPr>
      </w:pPr>
    </w:p>
    <w:p>
      <w:pPr>
        <w:pStyle w:val="Cuerpo A"/>
        <w:rPr>
          <w:rFonts w:ascii="Calibri" w:cs="Calibri" w:hAnsi="Calibri" w:eastAsia="Calibri"/>
        </w:rPr>
      </w:pPr>
    </w:p>
    <w:p>
      <w:pPr>
        <w:pStyle w:val="Cuerpo A"/>
        <w:spacing w:line="360" w:lineRule="auto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Estimadas familias,</w:t>
      </w:r>
    </w:p>
    <w:p>
      <w:pPr>
        <w:pStyle w:val="Cuerpo A"/>
        <w:spacing w:line="360" w:lineRule="auto"/>
        <w:ind w:firstLine="1701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Nos ponemos en contacto para contarles algunas novedades del Jard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desde el punto de vista administrativo. En funci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 la evoluci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n del cargo testigo durante el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ltimo tiempo los montos de referencia para las 2 principales categor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as ser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n los siguientes: </w:t>
      </w: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tbl>
      <w:tblPr>
        <w:tblW w:w="7956" w:type="dxa"/>
        <w:jc w:val="left"/>
        <w:tblInd w:w="45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1"/>
        <w:gridCol w:w="1320"/>
        <w:gridCol w:w="1419"/>
        <w:gridCol w:w="1417"/>
        <w:gridCol w:w="261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widowControl w:val="0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JTP D.E.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dic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-24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ene-25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feb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-2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5</w:t>
            </w:r>
          </w:p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Febrero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 xml:space="preserve"> 25 (redondeo)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widowControl w:val="0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10 a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os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249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502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$1.2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68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245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$1.2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83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463</w:t>
            </w:r>
          </w:p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widowControl w:val="0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 hijo/a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$112.455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$ 11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4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142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115.512</w:t>
            </w:r>
          </w:p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$11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6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.000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 A"/>
              <w:widowControl w:val="0"/>
              <w:suppressAutoHyphens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2 hijos/as</w:t>
            </w:r>
          </w:p>
        </w:tc>
        <w:tc>
          <w:tcPr>
            <w:tcW w:type="dxa" w:w="1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$13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7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445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$ 13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9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507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right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141.181</w:t>
            </w:r>
          </w:p>
        </w:tc>
        <w:tc>
          <w:tcPr>
            <w:tcW w:type="dxa" w:w="26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widowControl w:val="0"/>
              <w:jc w:val="center"/>
            </w:pP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$1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41.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000</w:t>
            </w:r>
          </w:p>
        </w:tc>
      </w:tr>
    </w:tbl>
    <w:p>
      <w:pPr>
        <w:pStyle w:val="Cuerpo A"/>
        <w:widowControl w:val="0"/>
        <w:ind w:left="346" w:hanging="346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widowControl w:val="0"/>
        <w:ind w:left="163" w:hanging="163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sta semana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 el gobierno dispuso un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1,5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%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para enero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por sobre el sueldo de diciembre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y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un 1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,2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%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en febrero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sobre el sueldo de enero. A partir de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marzo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 los valores para las 2 principales categor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as ser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n los siguientes:   </w:t>
      </w: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List 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1 hijo/a, jornada completa: $ 11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6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.000</w:t>
      </w:r>
    </w:p>
    <w:p>
      <w:pPr>
        <w:pStyle w:val="List Paragraph"/>
        <w:numPr>
          <w:ilvl w:val="0"/>
          <w:numId w:val="2"/>
        </w:numPr>
        <w:spacing w:line="360" w:lineRule="auto"/>
        <w:jc w:val="both"/>
        <w:rPr>
          <w:sz w:val="22"/>
          <w:szCs w:val="22"/>
          <w:lang w:val="es-ES_tradnl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2 hijos/as, jornada completa: $ 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141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.000</w:t>
      </w:r>
    </w:p>
    <w:p>
      <w:pPr>
        <w:pStyle w:val="Cuerpo A"/>
        <w:spacing w:line="360" w:lineRule="auto"/>
        <w:ind w:firstLine="1701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Cuerpo A"/>
        <w:spacing w:line="360" w:lineRule="auto"/>
        <w:ind w:firstLine="1701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Datos de la cuenta FCEN para transferencias (enviar comprobante 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"mailto:transferencias@de.fcen.uba.ar"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transferencias@de.fcen.uba.ar</w:t>
      </w:r>
      <w:r>
        <w:rPr/>
        <w:fldChar w:fldCharType="end" w:fldLock="0"/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 xml:space="preserve"> con copia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"mailto:teso@de.fcen.uba.ar"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teso@de.fcen.uba.ar</w:t>
      </w:r>
      <w:r>
        <w:rPr/>
        <w:fldChar w:fldCharType="end" w:fldLock="0"/>
      </w:r>
      <w:r>
        <w:rPr>
          <w:rtl w:val="0"/>
          <w:lang w:val="es-ES_tradnl"/>
        </w:rPr>
        <w:t>)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:</w:t>
      </w:r>
    </w:p>
    <w:p>
      <w:pPr>
        <w:pStyle w:val="Cuerpo A"/>
        <w:spacing w:line="360" w:lineRule="auto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Banco: GALICIA; Denominaci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 de Cuenta: UNIVERSIDAD DE BUENOS AIRES</w:t>
      </w:r>
    </w:p>
    <w:p>
      <w:pPr>
        <w:pStyle w:val="Cuerpo A"/>
        <w:spacing w:line="360" w:lineRule="auto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mero de Cuenta Corriente: 12650/2; CBU: 0070019120000012650200</w:t>
      </w:r>
    </w:p>
    <w:p>
      <w:pPr>
        <w:pStyle w:val="Cuerpo A"/>
        <w:spacing w:line="360" w:lineRule="auto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CUIT: 30-54666656-1; Sucursal:  019-0;  Denominaci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n: NU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Ñ</w:t>
      </w: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EZ;</w:t>
      </w:r>
    </w:p>
    <w:p>
      <w:pPr>
        <w:pStyle w:val="Cuerpo A"/>
        <w:spacing w:line="360" w:lineRule="auto"/>
        <w:jc w:val="both"/>
      </w:pPr>
      <w:r>
        <w:rPr>
          <w:rStyle w:val="Ninguno"/>
          <w:rFonts w:ascii="Calibri" w:cs="Calibri" w:hAnsi="Calibri" w:eastAsia="Calibri"/>
          <w:sz w:val="22"/>
          <w:szCs w:val="22"/>
          <w:rtl w:val="0"/>
          <w:lang w:val="es-ES_tradnl"/>
        </w:rPr>
        <w:t>Alias: exactasfcen.uba</w:t>
      </w:r>
    </w:p>
    <w:p>
      <w:pPr>
        <w:pStyle w:val="Cuerpo 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uerpo 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ab/>
        <w:tab/>
        <w:t>Saludos cordiales,</w:t>
      </w:r>
    </w:p>
    <w:p>
      <w:pPr>
        <w:pStyle w:val="Cuerpo 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  <w:rPr>
          <w:rStyle w:val="Ninguno"/>
          <w:rFonts w:ascii="Calibri" w:cs="Calibri" w:hAnsi="Calibri" w:eastAsia="Calibri"/>
          <w:sz w:val="22"/>
          <w:szCs w:val="22"/>
        </w:rPr>
      </w:pPr>
      <w:r>
        <w:rPr>
          <w:rStyle w:val="Ninguno"/>
          <w:rFonts w:ascii="Calibri" w:cs="Calibri" w:hAnsi="Calibri" w:eastAsia="Calibri"/>
          <w:sz w:val="22"/>
          <w:szCs w:val="22"/>
        </w:rPr>
        <w:tab/>
        <w:tab/>
      </w:r>
    </w:p>
    <w:p>
      <w:pPr>
        <w:pStyle w:val="Cuerpo A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04"/>
        </w:tabs>
        <w:suppressAutoHyphens w:val="0"/>
      </w:pPr>
      <w:r>
        <w:rPr>
          <w:rStyle w:val="Ninguno"/>
          <w:rFonts w:ascii="Calibri" w:cs="Calibri" w:hAnsi="Calibri" w:eastAsia="Calibri"/>
          <w:sz w:val="22"/>
          <w:szCs w:val="22"/>
          <w:rtl w:val="0"/>
        </w:rPr>
        <w:tab/>
        <w:tab/>
        <w:t>Equipo Directivo</w:t>
      </w:r>
    </w:p>
    <w:sectPr>
      <w:headerReference w:type="default" r:id="rId4"/>
      <w:footerReference w:type="default" r:id="rId5"/>
      <w:pgSz w:w="11900" w:h="16840" w:orient="portrait"/>
      <w:pgMar w:top="2665" w:right="1406" w:bottom="1491" w:left="1990" w:header="117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cabezado"/>
      <w:tabs>
        <w:tab w:val="right" w:pos="8484"/>
        <w:tab w:val="clear" w:pos="9638"/>
      </w:tabs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2509520</wp:posOffset>
              </wp:positionH>
              <wp:positionV relativeFrom="page">
                <wp:posOffset>1501140</wp:posOffset>
              </wp:positionV>
              <wp:extent cx="1304290" cy="751841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4290" cy="751841"/>
                        <a:chOff x="0" y="0"/>
                        <a:chExt cx="1304289" cy="75184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1304290" cy="75184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7518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97.6pt;margin-top:118.2pt;width:102.7pt;height:59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304290,751840">
              <w10:wrap type="none" side="bothSides" anchorx="page" anchory="page"/>
              <v:rect id="_x0000_s1027" style="position:absolute;left:0;top:0;width:1304290;height:751840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1304290;height:751840;">
                <v:imagedata r:id="rId1" o:title="image.jpeg"/>
              </v:shape>
            </v:group>
          </w:pict>
        </mc:Fallback>
      </mc:AlternateContent>
    </w:r>
    <w:r>
      <mc:AlternateContent>
        <mc:Choice Requires="wpg">
          <w:drawing>
            <wp:inline distT="0" distB="0" distL="0" distR="0">
              <wp:extent cx="762763" cy="917829"/>
              <wp:effectExtent l="0" t="0" r="0" b="0"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763" cy="917829"/>
                        <a:chOff x="0" y="0"/>
                        <a:chExt cx="762762" cy="917828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62763" cy="91782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 amt="0"/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763" cy="91782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9" style="visibility:visible;width:60.1pt;height:72.3pt;" coordorigin="0,0" coordsize="762762,917829">
              <v:rect id="_x0000_s1030" style="position:absolute;left:0;top:0;width:762762;height:917829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762762;height:917829;">
                <v:imagedata r:id="rId2" o:title="image.png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•"/>
      <w:lvlJc w:val="left"/>
      <w:pPr>
        <w:ind w:left="2661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38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10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4821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54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26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981" w:hanging="39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70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42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1"/>
      <w:keepLines w:val="1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sz w:val="22"/>
      <w:szCs w:val="22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