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F1" w:rsidRDefault="001861F1">
      <w:pPr>
        <w:pStyle w:val="CuerpoA"/>
        <w:rPr>
          <w:rFonts w:ascii="Calibri" w:eastAsia="Calibri" w:hAnsi="Calibri" w:cs="Calibri"/>
          <w:lang w:val="es-ES_tradnl"/>
        </w:rPr>
      </w:pPr>
    </w:p>
    <w:p w:rsidR="0037050C" w:rsidRDefault="0037050C">
      <w:pPr>
        <w:pStyle w:val="CuerpoA"/>
        <w:rPr>
          <w:rFonts w:ascii="Calibri" w:eastAsia="Calibri" w:hAnsi="Calibri" w:cs="Calibri"/>
          <w:lang w:val="es-ES_tradnl"/>
        </w:rPr>
      </w:pPr>
    </w:p>
    <w:p w:rsidR="001861F1" w:rsidRDefault="00D36F81">
      <w:pPr>
        <w:pStyle w:val="CuerpoA"/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Estimadas familias,</w:t>
      </w:r>
    </w:p>
    <w:p w:rsidR="001861F1" w:rsidRDefault="00D36F81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Nos ponemos en contacto para contarles algunas novedades del Jardín desde el punto de vista administrativo. En función de la evolución del cargo testigo durante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 xml:space="preserve">el 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>último mes</w:t>
      </w:r>
      <w:r w:rsidR="005D599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los montos de referencia para las 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>2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son los siguientes: 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7322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2"/>
        <w:gridCol w:w="1321"/>
        <w:gridCol w:w="1417"/>
        <w:gridCol w:w="1418"/>
        <w:gridCol w:w="1984"/>
      </w:tblGrid>
      <w:tr w:rsidR="008829EA" w:rsidTr="008829EA">
        <w:trPr>
          <w:trHeight w:val="29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JTP D.E.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sep-23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 w:rsidP="00364C98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Nov 23 (redondeo)</w:t>
            </w:r>
          </w:p>
        </w:tc>
      </w:tr>
      <w:tr w:rsidR="008829EA" w:rsidTr="008829EA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10 años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$490.821,45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$549.720,03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$599.194,83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/>
        </w:tc>
      </w:tr>
      <w:tr w:rsidR="008829EA" w:rsidTr="008829EA">
        <w:trPr>
          <w:trHeight w:val="25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/>
        </w:tc>
      </w:tr>
      <w:tr w:rsidR="008829EA" w:rsidTr="008829EA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 hijo/a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$44.173,93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$ 49.474,80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$53.927,53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 w:rsidP="008829EA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$54.000</w:t>
            </w:r>
          </w:p>
        </w:tc>
      </w:tr>
      <w:tr w:rsidR="008829EA" w:rsidTr="00C81B25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2 hijos/as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$53.990,36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$ 60.469,20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 w:rsidP="000D66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$65.911,43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9EA" w:rsidRDefault="008829EA" w:rsidP="008829EA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$66.000</w:t>
            </w:r>
          </w:p>
        </w:tc>
      </w:tr>
    </w:tbl>
    <w:p w:rsidR="001861F1" w:rsidRDefault="001861F1">
      <w:pPr>
        <w:pStyle w:val="CuerpoA"/>
        <w:widowControl w:val="0"/>
        <w:ind w:left="163" w:hanging="163"/>
        <w:rPr>
          <w:rFonts w:ascii="Calibri" w:eastAsia="Calibri" w:hAnsi="Calibri" w:cs="Calibri"/>
          <w:sz w:val="22"/>
          <w:szCs w:val="22"/>
        </w:rPr>
      </w:pPr>
    </w:p>
    <w:p w:rsidR="001861F1" w:rsidRDefault="00DA3334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Durante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este mes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se acordó un aumento de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9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%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sobre los haberes de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octub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re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A partir de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dic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iem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bre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os valores para las </w:t>
      </w: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serán los siguientes:   </w:t>
      </w:r>
    </w:p>
    <w:p w:rsidR="00D020CE" w:rsidRDefault="00D020CE">
      <w:pPr>
        <w:pStyle w:val="CuerpoA"/>
        <w:spacing w:line="360" w:lineRule="auto"/>
        <w:ind w:firstLine="1701"/>
        <w:jc w:val="both"/>
        <w:rPr>
          <w:rStyle w:val="NingunoA"/>
          <w:rFonts w:ascii="Calibri" w:eastAsia="Calibri" w:hAnsi="Calibri" w:cs="Calibri"/>
          <w:sz w:val="22"/>
          <w:szCs w:val="22"/>
        </w:rPr>
      </w:pP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1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hijo/a, jornada completa: $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54</w:t>
      </w:r>
      <w:r w:rsidR="00232A67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 xml:space="preserve"> hijos/as, jornad</w:t>
      </w:r>
      <w:r w:rsidR="005416C8">
        <w:rPr>
          <w:rStyle w:val="Ninguno"/>
          <w:rFonts w:ascii="Calibri" w:eastAsia="Calibri" w:hAnsi="Calibri" w:cs="Calibri"/>
          <w:sz w:val="22"/>
          <w:szCs w:val="22"/>
        </w:rPr>
        <w:t xml:space="preserve">a completa: $ </w:t>
      </w:r>
      <w:r w:rsidR="008829EA">
        <w:rPr>
          <w:rStyle w:val="Ninguno"/>
          <w:rFonts w:ascii="Calibri" w:eastAsia="Calibri" w:hAnsi="Calibri" w:cs="Calibri"/>
          <w:sz w:val="22"/>
          <w:szCs w:val="22"/>
        </w:rPr>
        <w:t>66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.0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E2D5C" w:rsidRDefault="001E2D5C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0D1888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 xml:space="preserve">a Facultad </w:t>
      </w:r>
      <w:r w:rsidR="00BB0C61">
        <w:rPr>
          <w:rStyle w:val="Ninguno"/>
          <w:rFonts w:ascii="Calibri" w:eastAsia="Calibri" w:hAnsi="Calibri" w:cs="Calibri"/>
          <w:sz w:val="22"/>
          <w:szCs w:val="22"/>
        </w:rPr>
        <w:t>tiene nueva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cuenta 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para re</w:t>
      </w:r>
      <w:r>
        <w:rPr>
          <w:rStyle w:val="Ninguno"/>
          <w:rFonts w:ascii="Calibri" w:eastAsia="Calibri" w:hAnsi="Calibri" w:cs="Calibri"/>
          <w:sz w:val="22"/>
          <w:szCs w:val="22"/>
        </w:rPr>
        <w:t>cibi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r transferencias,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aunque por el momento sigue vigente la del Santander. Recordar siempre e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 xml:space="preserve">nviar comprobante  a </w:t>
      </w:r>
      <w:hyperlink r:id="rId7" w:history="1">
        <w:r w:rsidR="00BB0C61" w:rsidRPr="00E25DB9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transferencias@de.fcen.uba.ar</w:t>
        </w:r>
      </w:hyperlink>
      <w:r w:rsidR="00BB0C61">
        <w:rPr>
          <w:rStyle w:val="Ninguno"/>
          <w:rFonts w:ascii="Calibri" w:eastAsia="Calibri" w:hAnsi="Calibri" w:cs="Calibri"/>
          <w:sz w:val="22"/>
          <w:szCs w:val="22"/>
        </w:rPr>
        <w:t xml:space="preserve"> con copia a </w:t>
      </w:r>
      <w:hyperlink r:id="rId8" w:history="1"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teso</w:t>
        </w:r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 w:eastAsia="ko-KR"/>
          </w:rPr>
          <w:t>@de.fcen.uba.ar</w:t>
        </w:r>
      </w:hyperlink>
      <w:r w:rsidR="00BB0C61" w:rsidRPr="00BB0C61">
        <w:rPr>
          <w:rStyle w:val="Ninguno"/>
          <w:rFonts w:ascii="Calibri" w:eastAsia="Calibri" w:hAnsi="Calibri" w:cs="Calibri"/>
          <w:sz w:val="22"/>
          <w:szCs w:val="22"/>
          <w:lang w:eastAsia="ko-KR"/>
        </w:rPr>
        <w:t xml:space="preserve"> 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>: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 xml:space="preserve">Banco: GALICIA 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Denominación de Cuenta: UNIVERSIDAD DE BUENOS AIRES</w:t>
      </w: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Número de Cuenta Corriente: 12650/2 CBU: 0070019120000012650200</w:t>
      </w:r>
    </w:p>
    <w:p w:rsidR="000D1888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CUIT: 30-54666656-1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Sucursal</w:t>
      </w:r>
      <w:r w:rsidR="00BB0C61">
        <w:rPr>
          <w:rFonts w:ascii="Calibri" w:eastAsia="Calibri" w:hAnsi="Calibri" w:cs="Calibri"/>
          <w:sz w:val="22"/>
          <w:szCs w:val="22"/>
        </w:rPr>
        <w:t>:</w:t>
      </w:r>
      <w:r w:rsidRPr="00BB0C61">
        <w:rPr>
          <w:rFonts w:ascii="Calibri" w:eastAsia="Calibri" w:hAnsi="Calibri" w:cs="Calibri"/>
          <w:sz w:val="22"/>
          <w:szCs w:val="22"/>
        </w:rPr>
        <w:t xml:space="preserve">  019-0  Denominación: NUÑEZ</w:t>
      </w:r>
    </w:p>
    <w:p w:rsidR="000D1888" w:rsidRDefault="00BB0C61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Alias: exactasfcen.uba</w:t>
      </w:r>
    </w:p>
    <w:p w:rsidR="001E2D5C" w:rsidRDefault="001E2D5C">
      <w:pPr>
        <w:pStyle w:val="Cue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1E2D5C" w:rsidP="001E2D5C">
      <w:pPr>
        <w:pStyle w:val="Cuerpo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Saludos cordiales,</w:t>
      </w:r>
    </w:p>
    <w:p w:rsidR="001861F1" w:rsidRDefault="00D36F81" w:rsidP="00D020CE">
      <w:pPr>
        <w:pStyle w:val="CuerpoA"/>
        <w:spacing w:before="120" w:line="360" w:lineRule="auto"/>
        <w:ind w:left="709" w:firstLine="992"/>
      </w:pPr>
      <w:r>
        <w:rPr>
          <w:rStyle w:val="Ninguno"/>
          <w:rFonts w:ascii="Calibri" w:eastAsia="Calibri" w:hAnsi="Calibri" w:cs="Calibri"/>
          <w:sz w:val="22"/>
          <w:szCs w:val="22"/>
        </w:rPr>
        <w:t>Equipo Directivo.</w:t>
      </w:r>
    </w:p>
    <w:sectPr w:rsidR="001861F1" w:rsidSect="001861F1">
      <w:headerReference w:type="default" r:id="rId9"/>
      <w:footerReference w:type="default" r:id="rId10"/>
      <w:pgSz w:w="11900" w:h="16840"/>
      <w:pgMar w:top="2665" w:right="1406" w:bottom="1491" w:left="1990" w:header="11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A1" w:rsidRDefault="00E578A1" w:rsidP="001861F1">
      <w:r>
        <w:separator/>
      </w:r>
    </w:p>
  </w:endnote>
  <w:endnote w:type="continuationSeparator" w:id="1">
    <w:p w:rsidR="00E578A1" w:rsidRDefault="00E578A1" w:rsidP="0018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ThinCon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1861F1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A1" w:rsidRDefault="00E578A1" w:rsidP="001861F1">
      <w:r>
        <w:separator/>
      </w:r>
    </w:p>
  </w:footnote>
  <w:footnote w:type="continuationSeparator" w:id="1">
    <w:p w:rsidR="00E578A1" w:rsidRDefault="00E578A1" w:rsidP="0018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D36F81">
    <w:pPr>
      <w:pStyle w:val="Encabezado"/>
      <w:tabs>
        <w:tab w:val="clear" w:pos="9638"/>
        <w:tab w:val="right" w:pos="8484"/>
      </w:tabs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D6D"/>
    <w:multiLevelType w:val="hybridMultilevel"/>
    <w:tmpl w:val="D0B0804E"/>
    <w:numStyleLink w:val="Estiloimportado1"/>
  </w:abstractNum>
  <w:abstractNum w:abstractNumId="1">
    <w:nsid w:val="7C245328"/>
    <w:multiLevelType w:val="hybridMultilevel"/>
    <w:tmpl w:val="D0B0804E"/>
    <w:styleLink w:val="Estiloimportado1"/>
    <w:lvl w:ilvl="0" w:tplc="9A4A85AC">
      <w:start w:val="1"/>
      <w:numFmt w:val="bullet"/>
      <w:lvlText w:val="•"/>
      <w:lvlJc w:val="left"/>
      <w:pPr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48A">
      <w:start w:val="1"/>
      <w:numFmt w:val="bullet"/>
      <w:lvlText w:val="o"/>
      <w:lvlJc w:val="left"/>
      <w:pPr>
        <w:ind w:left="33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EB78">
      <w:start w:val="1"/>
      <w:numFmt w:val="bullet"/>
      <w:lvlText w:val="▪"/>
      <w:lvlJc w:val="left"/>
      <w:pPr>
        <w:ind w:left="4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2C2EC">
      <w:start w:val="1"/>
      <w:numFmt w:val="bullet"/>
      <w:lvlText w:val="•"/>
      <w:lvlJc w:val="left"/>
      <w:pPr>
        <w:ind w:left="4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8F45A">
      <w:start w:val="1"/>
      <w:numFmt w:val="bullet"/>
      <w:lvlText w:val="o"/>
      <w:lvlJc w:val="left"/>
      <w:pPr>
        <w:ind w:left="5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E72B2">
      <w:start w:val="1"/>
      <w:numFmt w:val="bullet"/>
      <w:lvlText w:val="▪"/>
      <w:lvlJc w:val="left"/>
      <w:pPr>
        <w:ind w:left="6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C324">
      <w:start w:val="1"/>
      <w:numFmt w:val="bullet"/>
      <w:lvlText w:val="•"/>
      <w:lvlJc w:val="left"/>
      <w:pPr>
        <w:ind w:left="6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81E14">
      <w:start w:val="1"/>
      <w:numFmt w:val="bullet"/>
      <w:lvlText w:val="o"/>
      <w:lvlJc w:val="left"/>
      <w:pPr>
        <w:ind w:left="7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4D8AE">
      <w:start w:val="1"/>
      <w:numFmt w:val="bullet"/>
      <w:lvlText w:val="▪"/>
      <w:lvlJc w:val="left"/>
      <w:pPr>
        <w:ind w:left="8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1F1"/>
    <w:rsid w:val="00007DDD"/>
    <w:rsid w:val="0008324C"/>
    <w:rsid w:val="00094C4C"/>
    <w:rsid w:val="000C66E3"/>
    <w:rsid w:val="000D1888"/>
    <w:rsid w:val="000E06E0"/>
    <w:rsid w:val="0013161C"/>
    <w:rsid w:val="00165C9A"/>
    <w:rsid w:val="00167782"/>
    <w:rsid w:val="00175717"/>
    <w:rsid w:val="001758F1"/>
    <w:rsid w:val="001861F1"/>
    <w:rsid w:val="001C3126"/>
    <w:rsid w:val="001E2D5C"/>
    <w:rsid w:val="001F52DE"/>
    <w:rsid w:val="002151ED"/>
    <w:rsid w:val="00232A67"/>
    <w:rsid w:val="0023541C"/>
    <w:rsid w:val="002A7741"/>
    <w:rsid w:val="00306CCF"/>
    <w:rsid w:val="003077E0"/>
    <w:rsid w:val="0035083E"/>
    <w:rsid w:val="0036381B"/>
    <w:rsid w:val="00364C98"/>
    <w:rsid w:val="0037050C"/>
    <w:rsid w:val="00377FB1"/>
    <w:rsid w:val="003F1950"/>
    <w:rsid w:val="003F40B0"/>
    <w:rsid w:val="003F48B0"/>
    <w:rsid w:val="004116D0"/>
    <w:rsid w:val="00424E53"/>
    <w:rsid w:val="00454300"/>
    <w:rsid w:val="00470D10"/>
    <w:rsid w:val="004C09F9"/>
    <w:rsid w:val="00516FF2"/>
    <w:rsid w:val="00523FDB"/>
    <w:rsid w:val="005416C8"/>
    <w:rsid w:val="0056099B"/>
    <w:rsid w:val="00582267"/>
    <w:rsid w:val="00583327"/>
    <w:rsid w:val="005D5990"/>
    <w:rsid w:val="005F20C5"/>
    <w:rsid w:val="006266FF"/>
    <w:rsid w:val="00665642"/>
    <w:rsid w:val="006B5006"/>
    <w:rsid w:val="007378FB"/>
    <w:rsid w:val="00741123"/>
    <w:rsid w:val="007A5A9F"/>
    <w:rsid w:val="007B12CA"/>
    <w:rsid w:val="007B4E07"/>
    <w:rsid w:val="007D3756"/>
    <w:rsid w:val="00835DE2"/>
    <w:rsid w:val="008829EA"/>
    <w:rsid w:val="008E0715"/>
    <w:rsid w:val="008F3EB0"/>
    <w:rsid w:val="0091713E"/>
    <w:rsid w:val="00A310E6"/>
    <w:rsid w:val="00A34E94"/>
    <w:rsid w:val="00A52B54"/>
    <w:rsid w:val="00A76CA6"/>
    <w:rsid w:val="00A84E12"/>
    <w:rsid w:val="00A865FA"/>
    <w:rsid w:val="00AA4A55"/>
    <w:rsid w:val="00AE3FA3"/>
    <w:rsid w:val="00AF4E41"/>
    <w:rsid w:val="00AF59A5"/>
    <w:rsid w:val="00B648E6"/>
    <w:rsid w:val="00B85E88"/>
    <w:rsid w:val="00B94D06"/>
    <w:rsid w:val="00BB0C61"/>
    <w:rsid w:val="00BB7327"/>
    <w:rsid w:val="00BD6A24"/>
    <w:rsid w:val="00C045D6"/>
    <w:rsid w:val="00C056C7"/>
    <w:rsid w:val="00C11C74"/>
    <w:rsid w:val="00C6703F"/>
    <w:rsid w:val="00C71E0A"/>
    <w:rsid w:val="00C858CB"/>
    <w:rsid w:val="00CF1F74"/>
    <w:rsid w:val="00CF6930"/>
    <w:rsid w:val="00D020CE"/>
    <w:rsid w:val="00D36F81"/>
    <w:rsid w:val="00D7688B"/>
    <w:rsid w:val="00DA3334"/>
    <w:rsid w:val="00DB6E22"/>
    <w:rsid w:val="00DC2B53"/>
    <w:rsid w:val="00E16018"/>
    <w:rsid w:val="00E2262D"/>
    <w:rsid w:val="00E578A1"/>
    <w:rsid w:val="00E839B2"/>
    <w:rsid w:val="00E863A9"/>
    <w:rsid w:val="00EA69A1"/>
    <w:rsid w:val="00EC1E0D"/>
    <w:rsid w:val="00EC1EEF"/>
    <w:rsid w:val="00EC7A03"/>
    <w:rsid w:val="00EF773A"/>
    <w:rsid w:val="00F12B85"/>
    <w:rsid w:val="00F55EC2"/>
    <w:rsid w:val="00F937B5"/>
    <w:rsid w:val="00FE33B9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1F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1F1"/>
    <w:rPr>
      <w:u w:val="single"/>
    </w:rPr>
  </w:style>
  <w:style w:type="table" w:customStyle="1" w:styleId="TableNormal">
    <w:name w:val="Table Normal"/>
    <w:rsid w:val="0018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861F1"/>
    <w:pPr>
      <w:keepNext/>
      <w:keepLines/>
      <w:widowControl w:val="0"/>
      <w:tabs>
        <w:tab w:val="center" w:pos="4819"/>
        <w:tab w:val="right" w:pos="9638"/>
      </w:tabs>
      <w:suppressAutoHyphens/>
      <w:jc w:val="right"/>
    </w:pPr>
    <w:rPr>
      <w:rFonts w:ascii="HelveticaNeue ThinCond" w:eastAsia="HelveticaNeue ThinCond" w:hAnsi="HelveticaNeue ThinCond" w:cs="HelveticaNeue ThinCond"/>
      <w:color w:val="000000"/>
      <w:kern w:val="1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1861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1861F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sid w:val="001861F1"/>
    <w:rPr>
      <w:lang w:val="es-ES_tradnl"/>
    </w:rPr>
  </w:style>
  <w:style w:type="paragraph" w:customStyle="1" w:styleId="Cuerpo">
    <w:name w:val="Cuerpo"/>
    <w:rsid w:val="001861F1"/>
    <w:rPr>
      <w:rFonts w:cs="Arial Unicode MS"/>
      <w:color w:val="000000"/>
      <w:sz w:val="24"/>
      <w:szCs w:val="24"/>
      <w:u w:color="000000"/>
      <w:lang w:val="en-US"/>
    </w:rPr>
  </w:style>
  <w:style w:type="paragraph" w:styleId="Prrafodelista">
    <w:name w:val="List Paragraph"/>
    <w:rsid w:val="001861F1"/>
    <w:pPr>
      <w:suppressAutoHyphens/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rsid w:val="001861F1"/>
    <w:pPr>
      <w:numPr>
        <w:numId w:val="1"/>
      </w:numPr>
    </w:pPr>
  </w:style>
  <w:style w:type="character" w:customStyle="1" w:styleId="NingunoA">
    <w:name w:val="Ninguno A"/>
    <w:basedOn w:val="Ninguno"/>
    <w:rsid w:val="001861F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6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6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@de.fcen.uba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ferencias@de.fcen.uba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FCEyN</cp:lastModifiedBy>
  <cp:revision>2</cp:revision>
  <dcterms:created xsi:type="dcterms:W3CDTF">2023-11-23T19:16:00Z</dcterms:created>
  <dcterms:modified xsi:type="dcterms:W3CDTF">2023-11-23T19:16:00Z</dcterms:modified>
</cp:coreProperties>
</file>